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A7B62" w14:textId="77777777" w:rsidR="00A160B2" w:rsidRDefault="00A160B2" w:rsidP="00A160B2">
      <w:pPr>
        <w:spacing w:after="480"/>
      </w:pPr>
      <w:bookmarkStart w:id="0" w:name="_GoBack"/>
      <w:bookmarkEnd w:id="0"/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A160B2" w14:paraId="3E9231EB" w14:textId="77777777" w:rsidTr="00A360D6">
        <w:trPr>
          <w:tblHeader/>
        </w:trPr>
        <w:tc>
          <w:tcPr>
            <w:tcW w:w="3397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12" w:type="dxa"/>
            <w:tcBorders>
              <w:bottom w:val="single" w:sz="18" w:space="0" w:color="auto"/>
            </w:tcBorders>
          </w:tcPr>
          <w:p w14:paraId="55A88F66" w14:textId="2F6F43CE" w:rsidR="00A160B2" w:rsidRPr="00A160B2" w:rsidRDefault="00CE4DD2" w:rsidP="00CE4DD2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Pension Board</w:t>
            </w:r>
            <w:r w:rsidR="00A160B2">
              <w:t xml:space="preserve"> </w:t>
            </w:r>
          </w:p>
        </w:tc>
      </w:tr>
      <w:tr w:rsidR="00A160B2" w14:paraId="5281F5A9" w14:textId="77777777" w:rsidTr="00A360D6">
        <w:tc>
          <w:tcPr>
            <w:tcW w:w="3397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  <w:tcBorders>
              <w:top w:val="single" w:sz="18" w:space="0" w:color="auto"/>
            </w:tcBorders>
          </w:tcPr>
          <w:p w14:paraId="495EBCE8" w14:textId="73AF1EFD" w:rsidR="00A160B2" w:rsidRDefault="00CE4DD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4 March 202</w:t>
            </w:r>
            <w:r w:rsidR="00661D67">
              <w:rPr>
                <w:rFonts w:cs="Arial"/>
              </w:rPr>
              <w:t>1</w:t>
            </w:r>
          </w:p>
        </w:tc>
      </w:tr>
      <w:tr w:rsidR="00A160B2" w14:paraId="79B879D4" w14:textId="77777777" w:rsidTr="00A360D6">
        <w:tc>
          <w:tcPr>
            <w:tcW w:w="3397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12" w:type="dxa"/>
          </w:tcPr>
          <w:p w14:paraId="5914456E" w14:textId="07AC406A" w:rsidR="00A160B2" w:rsidRDefault="0075166A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Review of Pension Fund Committee Items</w:t>
            </w:r>
          </w:p>
        </w:tc>
      </w:tr>
      <w:tr w:rsidR="00A160B2" w14:paraId="3A5E0F07" w14:textId="77777777" w:rsidTr="00A360D6">
        <w:tc>
          <w:tcPr>
            <w:tcW w:w="3397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3CF266C9" w14:textId="2B974E43" w:rsidR="00A160B2" w:rsidRDefault="00CE4DD2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</w:tc>
      </w:tr>
      <w:tr w:rsidR="00A160B2" w14:paraId="7AFCAE74" w14:textId="77777777" w:rsidTr="00A360D6">
        <w:tc>
          <w:tcPr>
            <w:tcW w:w="3397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4E3163FF" w14:textId="532D3A4D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A360D6">
        <w:tc>
          <w:tcPr>
            <w:tcW w:w="3397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6CD568AC" w14:textId="1D6272F6" w:rsidR="00A160B2" w:rsidRPr="004446FD" w:rsidRDefault="00CE4DD2" w:rsidP="006C3150">
            <w:pPr>
              <w:pStyle w:val="Infotext"/>
              <w:rPr>
                <w:bCs/>
              </w:rPr>
            </w:pPr>
            <w:r w:rsidRPr="004446FD">
              <w:rPr>
                <w:rFonts w:cs="Arial"/>
                <w:bCs/>
                <w:szCs w:val="24"/>
              </w:rPr>
              <w:t>All</w:t>
            </w:r>
          </w:p>
        </w:tc>
      </w:tr>
      <w:tr w:rsidR="00A160B2" w14:paraId="7C35C184" w14:textId="77777777" w:rsidTr="00A360D6">
        <w:tc>
          <w:tcPr>
            <w:tcW w:w="3397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58E11CE4" w14:textId="77777777" w:rsidR="00CE4DD2" w:rsidRDefault="00CE4DD2" w:rsidP="006C3150">
            <w:pPr>
              <w:pStyle w:val="Infotext"/>
            </w:pPr>
          </w:p>
          <w:p w14:paraId="4C232B02" w14:textId="09FE2B97" w:rsidR="00A160B2" w:rsidRDefault="00933709" w:rsidP="006C3150">
            <w:pPr>
              <w:pStyle w:val="Infotext"/>
            </w:pPr>
            <w:r>
              <w:t>Appendix 1 – Pension Fund Valuation at 31 December 2020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332F8595" w14:textId="77777777" w:rsidTr="00A360D6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A360D6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3AE58E1E" w14:textId="1F422A32" w:rsidR="0075166A" w:rsidRPr="008658CB" w:rsidRDefault="0075166A" w:rsidP="0075166A">
            <w:r w:rsidRPr="008658CB">
              <w:t xml:space="preserve">This </w:t>
            </w:r>
            <w:r w:rsidRPr="00A154D4">
              <w:t xml:space="preserve">report </w:t>
            </w:r>
            <w:r>
              <w:t>summarises</w:t>
            </w:r>
            <w:r w:rsidRPr="00A154D4">
              <w:t xml:space="preserve"> the matters </w:t>
            </w:r>
            <w:r>
              <w:t xml:space="preserve">to be </w:t>
            </w:r>
            <w:r w:rsidRPr="00A154D4">
              <w:t xml:space="preserve">considered by the Pension Fund Committee at </w:t>
            </w:r>
            <w:r>
              <w:t>its next the</w:t>
            </w:r>
            <w:r w:rsidRPr="00A154D4">
              <w:t xml:space="preserve"> meeting on </w:t>
            </w:r>
            <w:r>
              <w:t>24 March 2021</w:t>
            </w:r>
            <w:r w:rsidRPr="00A154D4">
              <w:t xml:space="preserve"> and invites the Board to agree any comments </w:t>
            </w:r>
            <w:r>
              <w:t>they</w:t>
            </w:r>
            <w:r w:rsidRPr="00A154D4">
              <w:t xml:space="preserve"> might wish to make to</w:t>
            </w:r>
            <w:r>
              <w:t xml:space="preserve"> the Pension Fund Committee.</w:t>
            </w:r>
          </w:p>
          <w:p w14:paraId="53358B31" w14:textId="77777777" w:rsidR="00A360D6" w:rsidRDefault="00A360D6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14CBDEE" w14:textId="3E883939" w:rsidR="00A160B2" w:rsidRDefault="0075166A" w:rsidP="00A160B2">
            <w:r>
              <w:t xml:space="preserve">The </w:t>
            </w:r>
            <w:r>
              <w:rPr>
                <w:rFonts w:cs="Arial"/>
                <w:szCs w:val="24"/>
              </w:rPr>
              <w:t>Board</w:t>
            </w:r>
            <w:r w:rsidRPr="0076456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is requested to note the report and comment as necessary</w:t>
            </w:r>
            <w:r w:rsidR="00A360D6" w:rsidRPr="002D3381">
              <w:rPr>
                <w:szCs w:val="24"/>
              </w:rPr>
              <w:t>.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02AFEE99" w14:textId="67292C61" w:rsidR="0075166A" w:rsidRPr="0075166A" w:rsidRDefault="0075166A" w:rsidP="0075166A">
      <w:pPr>
        <w:numPr>
          <w:ilvl w:val="0"/>
          <w:numId w:val="16"/>
        </w:numPr>
        <w:jc w:val="both"/>
      </w:pPr>
      <w:r>
        <w:t xml:space="preserve">The list of items to be considered </w:t>
      </w:r>
      <w:r w:rsidRPr="0075166A">
        <w:rPr>
          <w:bCs/>
          <w:szCs w:val="24"/>
        </w:rPr>
        <w:t>by the Pension Fund Committee at its meeting on 2</w:t>
      </w:r>
      <w:r>
        <w:rPr>
          <w:bCs/>
          <w:szCs w:val="24"/>
        </w:rPr>
        <w:t>4 March 2021</w:t>
      </w:r>
      <w:r w:rsidRPr="0075166A">
        <w:rPr>
          <w:bCs/>
          <w:szCs w:val="24"/>
        </w:rPr>
        <w:t xml:space="preserve"> </w:t>
      </w:r>
      <w:r>
        <w:rPr>
          <w:bCs/>
          <w:szCs w:val="24"/>
        </w:rPr>
        <w:t>is</w:t>
      </w:r>
      <w:r w:rsidRPr="0075166A">
        <w:rPr>
          <w:bCs/>
          <w:szCs w:val="24"/>
        </w:rPr>
        <w:t xml:space="preserve"> summarised in the table below.</w:t>
      </w:r>
    </w:p>
    <w:p w14:paraId="32610839" w14:textId="77777777" w:rsidR="0075166A" w:rsidRDefault="0075166A" w:rsidP="0075166A">
      <w:pPr>
        <w:ind w:left="720"/>
        <w:rPr>
          <w:bCs/>
          <w:szCs w:val="24"/>
        </w:rPr>
      </w:pPr>
    </w:p>
    <w:p w14:paraId="4F8545BB" w14:textId="77777777" w:rsidR="0075166A" w:rsidRDefault="0075166A" w:rsidP="0075166A">
      <w:pPr>
        <w:ind w:left="720"/>
        <w:rPr>
          <w:bCs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18"/>
      </w:tblGrid>
      <w:tr w:rsidR="0075166A" w14:paraId="41499451" w14:textId="77777777" w:rsidTr="00FC33FC">
        <w:tc>
          <w:tcPr>
            <w:tcW w:w="2961" w:type="dxa"/>
          </w:tcPr>
          <w:p w14:paraId="46D0EB4E" w14:textId="77777777" w:rsidR="0075166A" w:rsidRPr="005A6D20" w:rsidRDefault="0075166A" w:rsidP="00FC33FC">
            <w:pPr>
              <w:rPr>
                <w:b/>
                <w:szCs w:val="24"/>
              </w:rPr>
            </w:pPr>
            <w:r w:rsidRPr="005A6D20">
              <w:rPr>
                <w:b/>
                <w:szCs w:val="24"/>
              </w:rPr>
              <w:t>Report</w:t>
            </w:r>
          </w:p>
        </w:tc>
        <w:tc>
          <w:tcPr>
            <w:tcW w:w="4618" w:type="dxa"/>
          </w:tcPr>
          <w:p w14:paraId="57DFD70B" w14:textId="77777777" w:rsidR="0075166A" w:rsidRPr="005A6D20" w:rsidRDefault="0075166A" w:rsidP="00FC33FC">
            <w:pPr>
              <w:rPr>
                <w:b/>
                <w:szCs w:val="24"/>
              </w:rPr>
            </w:pPr>
            <w:r w:rsidRPr="005A6D20">
              <w:rPr>
                <w:b/>
                <w:szCs w:val="24"/>
              </w:rPr>
              <w:t>Comments</w:t>
            </w:r>
          </w:p>
        </w:tc>
      </w:tr>
      <w:tr w:rsidR="0075166A" w14:paraId="25073024" w14:textId="77777777" w:rsidTr="00FC33FC">
        <w:tc>
          <w:tcPr>
            <w:tcW w:w="2961" w:type="dxa"/>
          </w:tcPr>
          <w:p w14:paraId="3ECBC0AA" w14:textId="77777777" w:rsidR="0075166A" w:rsidRPr="002E7D60" w:rsidRDefault="0075166A" w:rsidP="00FC33FC">
            <w:pPr>
              <w:rPr>
                <w:b/>
                <w:szCs w:val="24"/>
              </w:rPr>
            </w:pPr>
            <w:r w:rsidRPr="002E7D60">
              <w:rPr>
                <w:b/>
                <w:szCs w:val="24"/>
              </w:rPr>
              <w:t>Part I</w:t>
            </w:r>
          </w:p>
        </w:tc>
        <w:tc>
          <w:tcPr>
            <w:tcW w:w="4618" w:type="dxa"/>
          </w:tcPr>
          <w:p w14:paraId="29AB2069" w14:textId="77777777" w:rsidR="0075166A" w:rsidRDefault="0075166A" w:rsidP="00FC33FC">
            <w:pPr>
              <w:rPr>
                <w:bCs/>
                <w:szCs w:val="24"/>
              </w:rPr>
            </w:pPr>
          </w:p>
        </w:tc>
      </w:tr>
      <w:tr w:rsidR="0075166A" w14:paraId="1A6E26A7" w14:textId="77777777" w:rsidTr="00FC33FC">
        <w:tc>
          <w:tcPr>
            <w:tcW w:w="2961" w:type="dxa"/>
          </w:tcPr>
          <w:p w14:paraId="1FCEA04F" w14:textId="5F9A0913" w:rsidR="0075166A" w:rsidRDefault="0075166A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Pension Fund Communications Policy </w:t>
            </w:r>
          </w:p>
        </w:tc>
        <w:tc>
          <w:tcPr>
            <w:tcW w:w="4618" w:type="dxa"/>
          </w:tcPr>
          <w:p w14:paraId="7EF1B9B4" w14:textId="52A0B01E" w:rsidR="0075166A" w:rsidRDefault="0075166A" w:rsidP="00F1403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To review / update the policy. The draft is included elsewhere on this agenda to </w:t>
            </w:r>
            <w:r w:rsidR="00F1403C">
              <w:rPr>
                <w:bCs/>
                <w:szCs w:val="24"/>
              </w:rPr>
              <w:t>enable the Board’s comments to be forwarded to the Committee.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75166A" w14:paraId="2F2A8C66" w14:textId="77777777" w:rsidTr="00FC33FC">
        <w:tc>
          <w:tcPr>
            <w:tcW w:w="2961" w:type="dxa"/>
          </w:tcPr>
          <w:p w14:paraId="0ECD9CAD" w14:textId="0F4E81F5" w:rsidR="0075166A" w:rsidRDefault="00F1403C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Pension Fund Governance Compliance </w:t>
            </w:r>
            <w:r>
              <w:rPr>
                <w:bCs/>
                <w:szCs w:val="24"/>
              </w:rPr>
              <w:lastRenderedPageBreak/>
              <w:t xml:space="preserve">Statement </w:t>
            </w:r>
          </w:p>
          <w:p w14:paraId="010061AF" w14:textId="77777777" w:rsidR="0075166A" w:rsidRDefault="0075166A" w:rsidP="00FC33FC">
            <w:pPr>
              <w:rPr>
                <w:bCs/>
                <w:szCs w:val="24"/>
              </w:rPr>
            </w:pPr>
          </w:p>
        </w:tc>
        <w:tc>
          <w:tcPr>
            <w:tcW w:w="4618" w:type="dxa"/>
          </w:tcPr>
          <w:p w14:paraId="4360FC2B" w14:textId="7AB6C7CC" w:rsidR="00F1403C" w:rsidRDefault="00F1403C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To review / update the statement. The draft is included elsewhere on this </w:t>
            </w:r>
            <w:r>
              <w:rPr>
                <w:bCs/>
                <w:szCs w:val="24"/>
              </w:rPr>
              <w:lastRenderedPageBreak/>
              <w:t>agenda to enable the Board’s comments to be forwarded to the Committee.</w:t>
            </w:r>
          </w:p>
          <w:p w14:paraId="6EF103C5" w14:textId="6599410A" w:rsidR="0075166A" w:rsidRDefault="0075166A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</w:tc>
      </w:tr>
      <w:tr w:rsidR="0075166A" w14:paraId="3418CA18" w14:textId="77777777" w:rsidTr="00FC33FC">
        <w:tc>
          <w:tcPr>
            <w:tcW w:w="2961" w:type="dxa"/>
          </w:tcPr>
          <w:p w14:paraId="0E58EF9D" w14:textId="6F47BCD1" w:rsidR="0075166A" w:rsidRDefault="00034EE1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Pensions Administration System Procurement</w:t>
            </w:r>
          </w:p>
        </w:tc>
        <w:tc>
          <w:tcPr>
            <w:tcW w:w="4618" w:type="dxa"/>
          </w:tcPr>
          <w:p w14:paraId="797FA3B9" w14:textId="77777777" w:rsidR="0075166A" w:rsidRDefault="00034EE1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To set out arrangements for addressing the expiry of the existing contract in October 2021.</w:t>
            </w:r>
            <w:r w:rsidR="00070F70">
              <w:rPr>
                <w:bCs/>
                <w:szCs w:val="24"/>
              </w:rPr>
              <w:t xml:space="preserve"> (this may need to be in part II)</w:t>
            </w:r>
          </w:p>
          <w:p w14:paraId="247EEB62" w14:textId="5491D405" w:rsidR="00070F70" w:rsidRDefault="00070F70" w:rsidP="00FC33FC">
            <w:pPr>
              <w:rPr>
                <w:bCs/>
                <w:szCs w:val="24"/>
              </w:rPr>
            </w:pPr>
          </w:p>
        </w:tc>
      </w:tr>
      <w:tr w:rsidR="0075166A" w14:paraId="16044C78" w14:textId="77777777" w:rsidTr="00FC33FC">
        <w:tc>
          <w:tcPr>
            <w:tcW w:w="2961" w:type="dxa"/>
          </w:tcPr>
          <w:p w14:paraId="360DDD1A" w14:textId="77777777" w:rsidR="0075166A" w:rsidRDefault="0075166A" w:rsidP="00FC33FC">
            <w:pPr>
              <w:rPr>
                <w:bCs/>
                <w:szCs w:val="24"/>
              </w:rPr>
            </w:pPr>
            <w:r>
              <w:t>Performance Dashboard and Update on Regular items</w:t>
            </w:r>
          </w:p>
        </w:tc>
        <w:tc>
          <w:tcPr>
            <w:tcW w:w="4618" w:type="dxa"/>
          </w:tcPr>
          <w:p w14:paraId="4CE7F4E1" w14:textId="3F0BDF00" w:rsidR="0075166A" w:rsidRDefault="0075166A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The report </w:t>
            </w:r>
            <w:r w:rsidR="00F1403C">
              <w:rPr>
                <w:bCs/>
                <w:szCs w:val="24"/>
              </w:rPr>
              <w:t xml:space="preserve">will </w:t>
            </w:r>
            <w:r>
              <w:rPr>
                <w:bCs/>
                <w:szCs w:val="24"/>
              </w:rPr>
              <w:t xml:space="preserve">summarise the position of the Fund at </w:t>
            </w:r>
            <w:r w:rsidR="00F1403C">
              <w:rPr>
                <w:bCs/>
                <w:szCs w:val="24"/>
              </w:rPr>
              <w:t xml:space="preserve">the end of Q4 2020 (31 December 2020) </w:t>
            </w:r>
            <w:r>
              <w:rPr>
                <w:bCs/>
                <w:szCs w:val="24"/>
              </w:rPr>
              <w:t>and set out a proposed work programme for the Committee for the 202</w:t>
            </w:r>
            <w:r w:rsidR="00F1403C">
              <w:rPr>
                <w:bCs/>
                <w:szCs w:val="24"/>
              </w:rPr>
              <w:t>1-22 municipal year.</w:t>
            </w:r>
            <w:r>
              <w:rPr>
                <w:bCs/>
                <w:szCs w:val="24"/>
              </w:rPr>
              <w:t xml:space="preserve"> </w:t>
            </w:r>
          </w:p>
          <w:p w14:paraId="79AA2BAF" w14:textId="77777777" w:rsidR="0075166A" w:rsidRDefault="0075166A" w:rsidP="00FC33FC">
            <w:pPr>
              <w:rPr>
                <w:bCs/>
                <w:szCs w:val="24"/>
              </w:rPr>
            </w:pPr>
          </w:p>
          <w:p w14:paraId="105AD183" w14:textId="7FF18283" w:rsidR="0075166A" w:rsidRDefault="0075166A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The </w:t>
            </w:r>
            <w:r w:rsidR="00F1403C">
              <w:rPr>
                <w:bCs/>
                <w:szCs w:val="24"/>
              </w:rPr>
              <w:t xml:space="preserve">Fund’s valuation at 31 December 2020 </w:t>
            </w:r>
            <w:r>
              <w:rPr>
                <w:bCs/>
                <w:szCs w:val="24"/>
              </w:rPr>
              <w:t xml:space="preserve">is attached at appendix 1. </w:t>
            </w:r>
          </w:p>
          <w:p w14:paraId="072448AA" w14:textId="77777777" w:rsidR="0075166A" w:rsidRDefault="0075166A" w:rsidP="00FC33FC">
            <w:pPr>
              <w:rPr>
                <w:bCs/>
                <w:szCs w:val="24"/>
              </w:rPr>
            </w:pPr>
          </w:p>
        </w:tc>
      </w:tr>
      <w:tr w:rsidR="001F6722" w14:paraId="6250D94D" w14:textId="77777777" w:rsidTr="00FC33FC">
        <w:tc>
          <w:tcPr>
            <w:tcW w:w="2961" w:type="dxa"/>
          </w:tcPr>
          <w:p w14:paraId="7553BE51" w14:textId="485DEFD7" w:rsidR="001F6722" w:rsidRDefault="001F6722" w:rsidP="00FC33FC">
            <w:r>
              <w:t>Update on London CIV and Investment Pooling arrangements</w:t>
            </w:r>
          </w:p>
        </w:tc>
        <w:tc>
          <w:tcPr>
            <w:tcW w:w="4618" w:type="dxa"/>
          </w:tcPr>
          <w:p w14:paraId="28B9286E" w14:textId="7BA4B028" w:rsidR="001F6722" w:rsidRDefault="001F6722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To update the Committee on the position in regard to pooling.</w:t>
            </w:r>
          </w:p>
        </w:tc>
      </w:tr>
      <w:tr w:rsidR="00A42A08" w14:paraId="56F63A55" w14:textId="77777777" w:rsidTr="00FC33FC">
        <w:tc>
          <w:tcPr>
            <w:tcW w:w="2961" w:type="dxa"/>
          </w:tcPr>
          <w:p w14:paraId="56FBC352" w14:textId="680AA2AC" w:rsidR="00A42A08" w:rsidRDefault="00A42A08" w:rsidP="00FC33FC">
            <w:r>
              <w:t>Training Programme 2021-22</w:t>
            </w:r>
          </w:p>
        </w:tc>
        <w:tc>
          <w:tcPr>
            <w:tcW w:w="4618" w:type="dxa"/>
          </w:tcPr>
          <w:p w14:paraId="13810053" w14:textId="74C12048" w:rsidR="00A42A08" w:rsidRDefault="00A42A08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To draw up a suitable programme</w:t>
            </w:r>
          </w:p>
        </w:tc>
      </w:tr>
      <w:tr w:rsidR="0075166A" w14:paraId="356D1E0D" w14:textId="77777777" w:rsidTr="00FC33FC">
        <w:tc>
          <w:tcPr>
            <w:tcW w:w="2961" w:type="dxa"/>
          </w:tcPr>
          <w:p w14:paraId="3DF65F9A" w14:textId="77777777" w:rsidR="0075166A" w:rsidRPr="002E7D60" w:rsidRDefault="0075166A" w:rsidP="00FC33FC">
            <w:pPr>
              <w:rPr>
                <w:b/>
                <w:szCs w:val="24"/>
              </w:rPr>
            </w:pPr>
            <w:r w:rsidRPr="002E7D60">
              <w:rPr>
                <w:b/>
                <w:szCs w:val="24"/>
              </w:rPr>
              <w:t>Part II</w:t>
            </w:r>
          </w:p>
        </w:tc>
        <w:tc>
          <w:tcPr>
            <w:tcW w:w="4618" w:type="dxa"/>
          </w:tcPr>
          <w:p w14:paraId="2FBE5FC7" w14:textId="77777777" w:rsidR="0075166A" w:rsidRDefault="0075166A" w:rsidP="00FC33FC">
            <w:pPr>
              <w:rPr>
                <w:bCs/>
                <w:szCs w:val="24"/>
              </w:rPr>
            </w:pPr>
          </w:p>
        </w:tc>
      </w:tr>
      <w:tr w:rsidR="0075166A" w14:paraId="6A6EA753" w14:textId="77777777" w:rsidTr="00FC33FC">
        <w:tc>
          <w:tcPr>
            <w:tcW w:w="2961" w:type="dxa"/>
          </w:tcPr>
          <w:p w14:paraId="36269A83" w14:textId="77777777" w:rsidR="0075166A" w:rsidRDefault="0075166A" w:rsidP="00FC33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Investment Strategy Review</w:t>
            </w:r>
          </w:p>
        </w:tc>
        <w:tc>
          <w:tcPr>
            <w:tcW w:w="4618" w:type="dxa"/>
          </w:tcPr>
          <w:p w14:paraId="49DBB7E5" w14:textId="51B5B39F" w:rsidR="0075166A" w:rsidRDefault="0075166A" w:rsidP="00FC33FC">
            <w:pPr>
              <w:rPr>
                <w:bCs/>
                <w:szCs w:val="24"/>
              </w:rPr>
            </w:pPr>
            <w:r>
              <w:rPr>
                <w:szCs w:val="24"/>
              </w:rPr>
              <w:t>A</w:t>
            </w:r>
            <w:r w:rsidRPr="00AE089B">
              <w:rPr>
                <w:szCs w:val="24"/>
              </w:rPr>
              <w:t xml:space="preserve"> confidential report </w:t>
            </w:r>
            <w:r>
              <w:rPr>
                <w:szCs w:val="24"/>
              </w:rPr>
              <w:t>by</w:t>
            </w:r>
            <w:r w:rsidRPr="00AE089B">
              <w:rPr>
                <w:szCs w:val="24"/>
              </w:rPr>
              <w:t xml:space="preserve"> the Director of Finance</w:t>
            </w:r>
            <w:r>
              <w:rPr>
                <w:szCs w:val="24"/>
              </w:rPr>
              <w:t xml:space="preserve"> and Assurance</w:t>
            </w:r>
            <w:r w:rsidRPr="00AE089B">
              <w:rPr>
                <w:szCs w:val="24"/>
              </w:rPr>
              <w:t xml:space="preserve"> on </w:t>
            </w:r>
            <w:r>
              <w:rPr>
                <w:szCs w:val="24"/>
              </w:rPr>
              <w:t xml:space="preserve">the next stages of the </w:t>
            </w:r>
            <w:r w:rsidRPr="00AE089B">
              <w:rPr>
                <w:szCs w:val="24"/>
              </w:rPr>
              <w:t>Investment Strategy Review</w:t>
            </w:r>
            <w:r>
              <w:rPr>
                <w:szCs w:val="24"/>
              </w:rPr>
              <w:t xml:space="preserve">, including a number of recommended actions to progress the Review. </w:t>
            </w:r>
            <w:r w:rsidRPr="00AE089B">
              <w:rPr>
                <w:szCs w:val="24"/>
              </w:rPr>
              <w:t xml:space="preserve">  </w:t>
            </w:r>
          </w:p>
          <w:p w14:paraId="2F304909" w14:textId="785401F3" w:rsidR="0075166A" w:rsidRDefault="0075166A" w:rsidP="00FC33FC">
            <w:pPr>
              <w:rPr>
                <w:bCs/>
                <w:szCs w:val="24"/>
              </w:rPr>
            </w:pPr>
          </w:p>
        </w:tc>
      </w:tr>
    </w:tbl>
    <w:p w14:paraId="383BD210" w14:textId="77777777" w:rsidR="0075166A" w:rsidRDefault="0075166A" w:rsidP="0075166A">
      <w:pPr>
        <w:ind w:left="720"/>
        <w:jc w:val="both"/>
      </w:pPr>
    </w:p>
    <w:p w14:paraId="6D6D637C" w14:textId="314CDE66" w:rsidR="00751DF2" w:rsidRDefault="00751DF2" w:rsidP="00A360D6">
      <w:pPr>
        <w:numPr>
          <w:ilvl w:val="0"/>
          <w:numId w:val="16"/>
        </w:numPr>
        <w:jc w:val="both"/>
      </w:pPr>
      <w:r>
        <w:t xml:space="preserve">A training session, commencing at 5.30pm, will be held immediately before the Committee’s meeting </w:t>
      </w:r>
      <w:r w:rsidR="001F6722">
        <w:t>on 24</w:t>
      </w:r>
      <w:r w:rsidR="001F6722" w:rsidRPr="001F6722">
        <w:rPr>
          <w:vertAlign w:val="superscript"/>
        </w:rPr>
        <w:t>th</w:t>
      </w:r>
      <w:r w:rsidR="001F6722">
        <w:t xml:space="preserve"> March 2021. Record Currency Management will give a presentation on the way in which they carry out the currency hedging arrangements for the Fund’s equity portfolio. </w:t>
      </w:r>
    </w:p>
    <w:p w14:paraId="6CFCCFC9" w14:textId="77777777" w:rsidR="001F6722" w:rsidRDefault="001F6722" w:rsidP="001F6722">
      <w:pPr>
        <w:ind w:left="720"/>
        <w:jc w:val="both"/>
      </w:pPr>
    </w:p>
    <w:p w14:paraId="3D0174EE" w14:textId="0C308327" w:rsidR="001F6722" w:rsidRDefault="00751DF2" w:rsidP="001F6722">
      <w:pPr>
        <w:numPr>
          <w:ilvl w:val="0"/>
          <w:numId w:val="16"/>
        </w:numPr>
        <w:jc w:val="both"/>
        <w:rPr>
          <w:szCs w:val="24"/>
        </w:rPr>
      </w:pPr>
      <w:r w:rsidRPr="001F6722">
        <w:rPr>
          <w:szCs w:val="24"/>
        </w:rPr>
        <w:t xml:space="preserve">The timing of this meeting of the Board means that it takes place before the Committee’s meeting. This is helpful, as it </w:t>
      </w:r>
      <w:r w:rsidR="001F6722">
        <w:rPr>
          <w:szCs w:val="24"/>
        </w:rPr>
        <w:t xml:space="preserve">will </w:t>
      </w:r>
      <w:r w:rsidRPr="001F6722">
        <w:rPr>
          <w:szCs w:val="24"/>
        </w:rPr>
        <w:t xml:space="preserve">enable </w:t>
      </w:r>
      <w:r w:rsidR="001F6722">
        <w:rPr>
          <w:szCs w:val="24"/>
        </w:rPr>
        <w:t xml:space="preserve">the Committee to take into account </w:t>
      </w:r>
      <w:r w:rsidRPr="001F6722">
        <w:rPr>
          <w:szCs w:val="24"/>
        </w:rPr>
        <w:t xml:space="preserve">the Board’s views on </w:t>
      </w:r>
      <w:r w:rsidR="001F6722">
        <w:rPr>
          <w:szCs w:val="24"/>
        </w:rPr>
        <w:t>the policy items which are to be reviewed by the Committee.</w:t>
      </w:r>
    </w:p>
    <w:p w14:paraId="527CD82A" w14:textId="77777777" w:rsidR="001F6722" w:rsidRDefault="001F6722" w:rsidP="001F6722">
      <w:pPr>
        <w:pStyle w:val="ListParagraph"/>
        <w:rPr>
          <w:szCs w:val="24"/>
        </w:rPr>
      </w:pPr>
    </w:p>
    <w:p w14:paraId="774AD093" w14:textId="38F48A72" w:rsidR="001F6722" w:rsidRPr="001F6722" w:rsidRDefault="001F6722" w:rsidP="001F6722">
      <w:pPr>
        <w:numPr>
          <w:ilvl w:val="0"/>
          <w:numId w:val="16"/>
        </w:numPr>
        <w:jc w:val="both"/>
        <w:rPr>
          <w:szCs w:val="24"/>
        </w:rPr>
      </w:pPr>
      <w:r w:rsidRPr="001F6722">
        <w:t>The Fund’s valuation at 31 December 2020 was £960.3m</w:t>
      </w:r>
      <w:r>
        <w:t>, as detailed in Appendix 1</w:t>
      </w:r>
      <w:r w:rsidRPr="001F6722">
        <w:t xml:space="preserve">. All asset classes made gains in both November and December – the two main factors in this were the approval / licensing of vaccines against Covid-19, and the US election result, both of which were viewed positively by the markets. </w:t>
      </w:r>
      <w:r w:rsidR="00933709">
        <w:t>The Funding level had improved to 95%.</w:t>
      </w:r>
    </w:p>
    <w:p w14:paraId="35BDB294" w14:textId="77777777" w:rsidR="001F6722" w:rsidRDefault="001F6722" w:rsidP="001F6722">
      <w:pPr>
        <w:pStyle w:val="ListParagraph"/>
        <w:rPr>
          <w:szCs w:val="24"/>
        </w:rPr>
      </w:pPr>
    </w:p>
    <w:p w14:paraId="40D9B45D" w14:textId="1BF5003D" w:rsidR="001F6722" w:rsidRDefault="001F6722" w:rsidP="001F6722">
      <w:pPr>
        <w:numPr>
          <w:ilvl w:val="0"/>
          <w:numId w:val="16"/>
        </w:numPr>
        <w:jc w:val="both"/>
      </w:pPr>
      <w:r>
        <w:rPr>
          <w:szCs w:val="24"/>
        </w:rPr>
        <w:t xml:space="preserve">At its November meeting, the Pension Fund Committee approved the </w:t>
      </w:r>
      <w:r w:rsidRPr="001F6722">
        <w:t xml:space="preserve">Redemption of </w:t>
      </w:r>
      <w:r>
        <w:t xml:space="preserve">the Fund’s equity investments with </w:t>
      </w:r>
      <w:r w:rsidRPr="001F6722">
        <w:t xml:space="preserve">Oldfield </w:t>
      </w:r>
      <w:r>
        <w:t xml:space="preserve">Partners, and the Investment of the proceeds in the London </w:t>
      </w:r>
      <w:r w:rsidRPr="001F6722">
        <w:t xml:space="preserve">CIV Sustainable Equity Fund – </w:t>
      </w:r>
      <w:r>
        <w:t>at the time of writing this report, the</w:t>
      </w:r>
      <w:r w:rsidRPr="001F6722">
        <w:t xml:space="preserve"> transition is currently in progress</w:t>
      </w:r>
      <w:r>
        <w:t xml:space="preserve">, and will be completed by 25 February 2021. </w:t>
      </w:r>
      <w:r w:rsidR="004446FD">
        <w:t xml:space="preserve">Following </w:t>
      </w:r>
      <w:r w:rsidR="004446FD" w:rsidRPr="001F6722">
        <w:lastRenderedPageBreak/>
        <w:t>discussions</w:t>
      </w:r>
      <w:r w:rsidRPr="001F6722">
        <w:t xml:space="preserve"> with </w:t>
      </w:r>
      <w:r>
        <w:t xml:space="preserve">the Fund’s Investment Consultants, </w:t>
      </w:r>
      <w:r w:rsidRPr="001F6722">
        <w:t xml:space="preserve">Aon </w:t>
      </w:r>
      <w:r>
        <w:t xml:space="preserve">, it was made in three tranches. </w:t>
      </w:r>
    </w:p>
    <w:p w14:paraId="7AE92767" w14:textId="77777777" w:rsidR="001F6722" w:rsidRDefault="001F6722" w:rsidP="001F6722">
      <w:pPr>
        <w:pStyle w:val="ListParagraph"/>
      </w:pPr>
    </w:p>
    <w:p w14:paraId="462109B5" w14:textId="2FFC833D" w:rsidR="001F6722" w:rsidRDefault="001F6722" w:rsidP="001F6722">
      <w:pPr>
        <w:numPr>
          <w:ilvl w:val="0"/>
          <w:numId w:val="16"/>
        </w:numPr>
        <w:jc w:val="both"/>
      </w:pPr>
      <w:r>
        <w:t>The F</w:t>
      </w:r>
      <w:r w:rsidR="00933709">
        <w:t>u</w:t>
      </w:r>
      <w:r>
        <w:t xml:space="preserve">nd has committed to investing </w:t>
      </w:r>
      <w:r w:rsidR="00933709">
        <w:t xml:space="preserve">£68million in the London CIV’s Infrastructure Fund. There were </w:t>
      </w:r>
      <w:r>
        <w:t>4 drawdowns of funds – 2 each in December and January. At the end of January</w:t>
      </w:r>
      <w:r w:rsidR="00070F70">
        <w:t xml:space="preserve"> 2021,</w:t>
      </w:r>
      <w:r>
        <w:t xml:space="preserve"> the balance invested </w:t>
      </w:r>
      <w:r w:rsidR="00933709">
        <w:t>was</w:t>
      </w:r>
      <w:r>
        <w:t xml:space="preserve"> £16.4m – this is almost 25% of our commitment of £68m to this asset class. These investments have been funded by withdrawals from the Blackrock cash fund.</w:t>
      </w:r>
      <w:r w:rsidR="00070F70">
        <w:t xml:space="preserve"> </w:t>
      </w:r>
    </w:p>
    <w:p w14:paraId="03D66B6A" w14:textId="77777777" w:rsidR="00933709" w:rsidRDefault="00933709" w:rsidP="00933709">
      <w:pPr>
        <w:pStyle w:val="ListParagraph"/>
      </w:pPr>
    </w:p>
    <w:p w14:paraId="7574C8B4" w14:textId="40ED8F3B" w:rsidR="006B5B52" w:rsidRPr="00933709" w:rsidRDefault="006B5B52" w:rsidP="00933709">
      <w:pPr>
        <w:numPr>
          <w:ilvl w:val="0"/>
          <w:numId w:val="16"/>
        </w:numPr>
        <w:jc w:val="both"/>
      </w:pPr>
      <w:r>
        <w:t xml:space="preserve">For Board members’ information, the dates set for meetings of the Pension Fund Committee </w:t>
      </w:r>
      <w:r w:rsidR="00933709">
        <w:t xml:space="preserve">in the 2021-22 municipal year </w:t>
      </w:r>
      <w:r>
        <w:t>are as follows:</w:t>
      </w:r>
    </w:p>
    <w:p w14:paraId="3253F2C4" w14:textId="315D0536" w:rsidR="006B5B52" w:rsidRPr="001C6F48" w:rsidRDefault="006B5B52" w:rsidP="006B5B5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  <w:lang w:eastAsia="en-US"/>
        </w:rPr>
      </w:pPr>
      <w:r w:rsidRPr="001C6F48">
        <w:rPr>
          <w:rFonts w:eastAsia="Times New Roman"/>
          <w:sz w:val="24"/>
          <w:szCs w:val="24"/>
        </w:rPr>
        <w:t>Thursday 24</w:t>
      </w:r>
      <w:r w:rsidRPr="001C6F48">
        <w:rPr>
          <w:rFonts w:eastAsia="Times New Roman"/>
          <w:sz w:val="24"/>
          <w:szCs w:val="24"/>
          <w:vertAlign w:val="superscript"/>
        </w:rPr>
        <w:t>th</w:t>
      </w:r>
      <w:r w:rsidRPr="001C6F48">
        <w:rPr>
          <w:rFonts w:eastAsia="Times New Roman"/>
          <w:sz w:val="24"/>
          <w:szCs w:val="24"/>
        </w:rPr>
        <w:t xml:space="preserve"> June 2021</w:t>
      </w:r>
    </w:p>
    <w:p w14:paraId="5995218B" w14:textId="0974DAD5" w:rsidR="006B5B52" w:rsidRPr="001C6F48" w:rsidRDefault="006B5B52" w:rsidP="006B5B5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1C6F48">
        <w:rPr>
          <w:rFonts w:eastAsia="Times New Roman"/>
          <w:sz w:val="24"/>
          <w:szCs w:val="24"/>
        </w:rPr>
        <w:t>Monday 13</w:t>
      </w:r>
      <w:r w:rsidRPr="001C6F48">
        <w:rPr>
          <w:rFonts w:eastAsia="Times New Roman"/>
          <w:sz w:val="24"/>
          <w:szCs w:val="24"/>
          <w:vertAlign w:val="superscript"/>
        </w:rPr>
        <w:t>th</w:t>
      </w:r>
      <w:r w:rsidRPr="001C6F48">
        <w:rPr>
          <w:rFonts w:eastAsia="Times New Roman"/>
          <w:sz w:val="24"/>
          <w:szCs w:val="24"/>
        </w:rPr>
        <w:t xml:space="preserve"> September 2021 </w:t>
      </w:r>
    </w:p>
    <w:p w14:paraId="4934B141" w14:textId="77777777" w:rsidR="006B5B52" w:rsidRPr="001C6F48" w:rsidRDefault="006B5B52" w:rsidP="006B5B5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1C6F48">
        <w:rPr>
          <w:rFonts w:eastAsia="Times New Roman"/>
          <w:sz w:val="24"/>
          <w:szCs w:val="24"/>
        </w:rPr>
        <w:t>Wednesday 24</w:t>
      </w:r>
      <w:r w:rsidRPr="001C6F48">
        <w:rPr>
          <w:rFonts w:eastAsia="Times New Roman"/>
          <w:sz w:val="24"/>
          <w:szCs w:val="24"/>
          <w:vertAlign w:val="superscript"/>
        </w:rPr>
        <w:t>th</w:t>
      </w:r>
      <w:r w:rsidRPr="001C6F48">
        <w:rPr>
          <w:rFonts w:eastAsia="Times New Roman"/>
          <w:sz w:val="24"/>
          <w:szCs w:val="24"/>
        </w:rPr>
        <w:t xml:space="preserve"> November 2021</w:t>
      </w:r>
    </w:p>
    <w:p w14:paraId="0580E9B4" w14:textId="77777777" w:rsidR="006B5B52" w:rsidRPr="006B5B52" w:rsidRDefault="006B5B52" w:rsidP="006B5B5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1C6F48">
        <w:rPr>
          <w:rFonts w:eastAsia="Times New Roman"/>
          <w:sz w:val="24"/>
          <w:szCs w:val="24"/>
        </w:rPr>
        <w:t>Wednesday 9</w:t>
      </w:r>
      <w:r w:rsidRPr="001C6F48">
        <w:rPr>
          <w:rFonts w:eastAsia="Times New Roman"/>
          <w:sz w:val="24"/>
          <w:szCs w:val="24"/>
          <w:vertAlign w:val="superscript"/>
        </w:rPr>
        <w:t>th</w:t>
      </w:r>
      <w:r w:rsidRPr="001C6F48">
        <w:rPr>
          <w:rFonts w:eastAsia="Times New Roman"/>
          <w:sz w:val="24"/>
          <w:szCs w:val="24"/>
        </w:rPr>
        <w:t xml:space="preserve"> March</w:t>
      </w:r>
      <w:r w:rsidRPr="006B5B52">
        <w:rPr>
          <w:rFonts w:eastAsia="Times New Roman"/>
          <w:sz w:val="24"/>
          <w:szCs w:val="24"/>
        </w:rPr>
        <w:t xml:space="preserve"> 2022</w:t>
      </w:r>
    </w:p>
    <w:p w14:paraId="6B009948" w14:textId="62FBE1A3" w:rsidR="006B5B52" w:rsidRDefault="006B5B52" w:rsidP="006B5B52">
      <w:pPr>
        <w:ind w:left="720"/>
        <w:jc w:val="both"/>
        <w:rPr>
          <w:szCs w:val="24"/>
        </w:rPr>
      </w:pPr>
    </w:p>
    <w:p w14:paraId="382D260B" w14:textId="0F07EEE9" w:rsidR="006B5B52" w:rsidRDefault="006B5B52" w:rsidP="00933709">
      <w:pPr>
        <w:ind w:left="720"/>
        <w:jc w:val="both"/>
      </w:pPr>
      <w:r>
        <w:t>All of these meetings are currently scheduled to start at 6.30pm.  It is currently intended that a training session will be held, before each Pension Fund Committee meeting, beginning at beginning at 5.30pm. All Board members are welcome to attend both the training sessions and the meetings.</w:t>
      </w:r>
      <w:r w:rsidR="00933709">
        <w:t xml:space="preserve"> The meetings will continue to be held via Microsoft Teams until it is possible to meet in person again. </w:t>
      </w:r>
    </w:p>
    <w:p w14:paraId="5F6BD5FD" w14:textId="77777777" w:rsidR="006B5B52" w:rsidRDefault="006B5B52" w:rsidP="006B5B52">
      <w:pPr>
        <w:pStyle w:val="Heading2"/>
      </w:pPr>
      <w:r>
        <w:t>Legal Implications</w:t>
      </w:r>
    </w:p>
    <w:p w14:paraId="4DA3F6E4" w14:textId="77777777" w:rsidR="006B5B52" w:rsidRDefault="006B5B52" w:rsidP="006B5B52">
      <w:pPr>
        <w:ind w:left="720"/>
        <w:jc w:val="both"/>
      </w:pPr>
    </w:p>
    <w:p w14:paraId="56739B89" w14:textId="77777777" w:rsidR="006B5B52" w:rsidRDefault="006B5B52" w:rsidP="006B5B52">
      <w:pPr>
        <w:pStyle w:val="ListParagraph"/>
      </w:pPr>
    </w:p>
    <w:p w14:paraId="1AE22C2D" w14:textId="64F40262" w:rsidR="006B5B52" w:rsidRPr="00C55540" w:rsidRDefault="006B5B52" w:rsidP="000E1E98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t>There are no direct legal implications arising from this report.</w:t>
      </w:r>
    </w:p>
    <w:p w14:paraId="75BF25CE" w14:textId="77777777" w:rsidR="006B5B52" w:rsidRDefault="006B5B52" w:rsidP="006B5B52">
      <w:pPr>
        <w:pStyle w:val="Heading2"/>
        <w:spacing w:after="240"/>
      </w:pPr>
      <w:r>
        <w:t>Financial Implications</w:t>
      </w:r>
    </w:p>
    <w:p w14:paraId="4C08F992" w14:textId="0F5B26BD" w:rsidR="006B5B52" w:rsidRDefault="006B5B52" w:rsidP="006B5B52">
      <w:pPr>
        <w:ind w:left="720"/>
        <w:jc w:val="both"/>
        <w:rPr>
          <w:szCs w:val="24"/>
        </w:rPr>
      </w:pPr>
    </w:p>
    <w:p w14:paraId="42CA06A9" w14:textId="7F542A0C" w:rsidR="006B5B52" w:rsidRPr="006B5B52" w:rsidRDefault="006B5B52" w:rsidP="00EB0AAE">
      <w:pPr>
        <w:numPr>
          <w:ilvl w:val="0"/>
          <w:numId w:val="16"/>
        </w:numPr>
        <w:jc w:val="both"/>
        <w:rPr>
          <w:szCs w:val="24"/>
          <w:lang w:val="en-US"/>
        </w:rPr>
      </w:pPr>
      <w:r w:rsidRPr="006B5B52">
        <w:rPr>
          <w:szCs w:val="24"/>
          <w:lang w:val="en-US"/>
        </w:rPr>
        <w:t>Whilst the performance and effective controls of the fund managers is of paramount importance in the performance of the Pension Fund, there are no financial implications arising from this report.</w:t>
      </w:r>
    </w:p>
    <w:p w14:paraId="0568C5C0" w14:textId="77777777" w:rsidR="006B5B52" w:rsidRPr="003D2FFE" w:rsidRDefault="006B5B52" w:rsidP="006B5B52">
      <w:pPr>
        <w:pStyle w:val="Heading2"/>
        <w:spacing w:after="240"/>
      </w:pPr>
      <w:r>
        <w:t>Risk Management Implications</w:t>
      </w:r>
    </w:p>
    <w:p w14:paraId="34DCB0E4" w14:textId="117AE982" w:rsidR="006B5B52" w:rsidRDefault="006B5B52" w:rsidP="006B5B52">
      <w:pPr>
        <w:ind w:left="720"/>
        <w:jc w:val="both"/>
        <w:rPr>
          <w:szCs w:val="24"/>
          <w:lang w:val="en-US"/>
        </w:rPr>
      </w:pPr>
    </w:p>
    <w:p w14:paraId="462D9ECD" w14:textId="67CFD11C" w:rsidR="006B5B52" w:rsidRPr="00C55540" w:rsidRDefault="00C55540" w:rsidP="00C55540">
      <w:pPr>
        <w:numPr>
          <w:ilvl w:val="0"/>
          <w:numId w:val="16"/>
        </w:numPr>
        <w:jc w:val="both"/>
      </w:pPr>
      <w:r w:rsidRPr="00C55540">
        <w:rPr>
          <w:rFonts w:cs="Arial"/>
        </w:rPr>
        <w:t xml:space="preserve">There are no specific risk management implications arising from this report. The Pension Fund’s Risk Register is reviewed </w:t>
      </w:r>
      <w:r>
        <w:rPr>
          <w:rFonts w:cs="Arial"/>
        </w:rPr>
        <w:t>regularly by bot</w:t>
      </w:r>
      <w:r w:rsidR="002B1B70">
        <w:rPr>
          <w:rFonts w:cs="Arial"/>
        </w:rPr>
        <w:t xml:space="preserve">h </w:t>
      </w:r>
      <w:r>
        <w:rPr>
          <w:rFonts w:cs="Arial"/>
        </w:rPr>
        <w:t xml:space="preserve">the Pension Fund Committee and by the Board. </w:t>
      </w:r>
    </w:p>
    <w:p w14:paraId="16855B49" w14:textId="77777777" w:rsidR="00C55540" w:rsidRDefault="00C55540" w:rsidP="00C55540">
      <w:pPr>
        <w:pStyle w:val="Heading2"/>
        <w:keepNext/>
        <w:spacing w:after="240"/>
      </w:pPr>
      <w:r w:rsidRPr="004A2543">
        <w:t>Equalities implications</w:t>
      </w:r>
      <w:r>
        <w:t xml:space="preserve"> / Public Sector Equality Duty </w:t>
      </w:r>
    </w:p>
    <w:p w14:paraId="150BCE92" w14:textId="54EFFC9B" w:rsidR="00C55540" w:rsidRP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55540">
        <w:rPr>
          <w:sz w:val="24"/>
          <w:szCs w:val="24"/>
        </w:rPr>
        <w:t xml:space="preserve">Was an Equality Impact Assessment carried out?  No </w:t>
      </w:r>
    </w:p>
    <w:p w14:paraId="010082B9" w14:textId="77777777" w:rsidR="00C55540" w:rsidRPr="00C55540" w:rsidRDefault="00C55540" w:rsidP="00C55540">
      <w:pPr>
        <w:rPr>
          <w:szCs w:val="24"/>
        </w:rPr>
      </w:pPr>
    </w:p>
    <w:p w14:paraId="6F845081" w14:textId="32E69A0F" w:rsidR="00C55540" w:rsidRPr="00C55540" w:rsidRDefault="00C55540" w:rsidP="0036007A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t xml:space="preserve">There are no direct equalities implications arising from this report. </w:t>
      </w:r>
    </w:p>
    <w:p w14:paraId="3EEDC6F2" w14:textId="77777777" w:rsidR="00C55540" w:rsidRPr="00CD57D8" w:rsidRDefault="00C55540" w:rsidP="00C55540">
      <w:pPr>
        <w:pStyle w:val="Heading2"/>
        <w:spacing w:after="240"/>
      </w:pPr>
      <w:r>
        <w:t xml:space="preserve">Council </w:t>
      </w:r>
      <w:r w:rsidRPr="00CD57D8">
        <w:t>Priorities</w:t>
      </w:r>
    </w:p>
    <w:p w14:paraId="270E4104" w14:textId="4E565CAF" w:rsid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A175BD">
        <w:rPr>
          <w:sz w:val="24"/>
          <w:szCs w:val="24"/>
          <w:lang w:val="en-US"/>
        </w:rPr>
        <w:t xml:space="preserve">The performance of the Pension Fund directly affects the level of employer contribution which then, in turn, affects the resources available for the Council’s priorities. 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7BE64954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C55540">
        <w:rPr>
          <w:b/>
          <w:sz w:val="28"/>
        </w:rPr>
        <w:t>Dawn Calvert</w:t>
      </w:r>
    </w:p>
    <w:p w14:paraId="57640BD9" w14:textId="22162177" w:rsidR="00912904" w:rsidRPr="00A66326" w:rsidRDefault="00912904" w:rsidP="00912904">
      <w:r w:rsidRPr="00A66326">
        <w:t>Signed by the Chief Financial Officer</w:t>
      </w:r>
    </w:p>
    <w:p w14:paraId="650DA37B" w14:textId="77777777" w:rsidR="00912904" w:rsidRPr="00A66326" w:rsidRDefault="00912904" w:rsidP="00912904">
      <w:pPr>
        <w:rPr>
          <w:sz w:val="28"/>
        </w:rPr>
      </w:pPr>
    </w:p>
    <w:p w14:paraId="2436A55D" w14:textId="77777777" w:rsidR="00F15A6B" w:rsidRPr="00A66326" w:rsidRDefault="00912904" w:rsidP="00F15A6B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F15A6B">
        <w:rPr>
          <w:b/>
          <w:sz w:val="28"/>
        </w:rPr>
        <w:t>09/02/2021</w:t>
      </w:r>
    </w:p>
    <w:p w14:paraId="2586CC50" w14:textId="62AA0AED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1A472C">
        <w:rPr>
          <w:b/>
          <w:sz w:val="28"/>
        </w:rPr>
        <w:t>David Hodge</w:t>
      </w:r>
    </w:p>
    <w:p w14:paraId="3F58D77A" w14:textId="16A5F915" w:rsidR="00912904" w:rsidRPr="00A66326" w:rsidRDefault="00912904" w:rsidP="00912904">
      <w:r w:rsidRPr="00A66326">
        <w:t>Signed on behalf of the Monitoring Officer</w:t>
      </w:r>
    </w:p>
    <w:p w14:paraId="52AD6B43" w14:textId="77777777" w:rsidR="00912904" w:rsidRPr="00A66326" w:rsidRDefault="00912904" w:rsidP="00912904">
      <w:pPr>
        <w:rPr>
          <w:sz w:val="28"/>
        </w:rPr>
      </w:pPr>
    </w:p>
    <w:p w14:paraId="61F8C7E6" w14:textId="505A84CC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1A472C">
        <w:rPr>
          <w:b/>
          <w:sz w:val="28"/>
        </w:rPr>
        <w:t>10/02/2021</w:t>
      </w:r>
    </w:p>
    <w:p w14:paraId="2019A53D" w14:textId="26E45BF8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C55540">
        <w:rPr>
          <w:b/>
          <w:sz w:val="28"/>
        </w:rPr>
        <w:t>Charlie Stewart</w:t>
      </w:r>
    </w:p>
    <w:p w14:paraId="12E4D11B" w14:textId="77777777" w:rsidR="00912904" w:rsidRPr="00A66326" w:rsidRDefault="00365D29" w:rsidP="00912904">
      <w:r>
        <w:t>Signed</w:t>
      </w:r>
      <w:r w:rsidR="00912904" w:rsidRPr="00A66326">
        <w:t xml:space="preserve"> by the Corporate Director</w:t>
      </w:r>
    </w:p>
    <w:p w14:paraId="6F36B845" w14:textId="77777777" w:rsidR="00912904" w:rsidRPr="00A66326" w:rsidRDefault="00912904" w:rsidP="00912904">
      <w:pPr>
        <w:rPr>
          <w:sz w:val="28"/>
        </w:rPr>
      </w:pPr>
    </w:p>
    <w:p w14:paraId="21482980" w14:textId="5FCCEC57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BF6C03">
        <w:rPr>
          <w:b/>
          <w:sz w:val="28"/>
        </w:rPr>
        <w:t>09/02/2021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0543F6AA" w:rsidR="00912904" w:rsidRPr="003313EA" w:rsidRDefault="00912904" w:rsidP="00C55540">
      <w:pPr>
        <w:pStyle w:val="Heading3"/>
        <w:ind w:left="0" w:firstLine="0"/>
        <w:rPr>
          <w:i/>
          <w:color w:val="FF0000"/>
          <w:szCs w:val="24"/>
        </w:rPr>
      </w:pPr>
      <w:r w:rsidRPr="00E90AFF">
        <w:rPr>
          <w:sz w:val="28"/>
        </w:rPr>
        <w:t>Ward Councillors notified:  NO</w:t>
      </w:r>
      <w:r w:rsidRPr="003313EA">
        <w:rPr>
          <w:i/>
          <w:color w:val="FF0000"/>
          <w:szCs w:val="24"/>
        </w:rPr>
        <w:t xml:space="preserve">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373FA8D5" w14:textId="24AB96FD" w:rsidR="00C55540" w:rsidRDefault="002A2389" w:rsidP="00C55540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C55540" w:rsidRPr="00A175BD">
        <w:rPr>
          <w:sz w:val="24"/>
          <w:szCs w:val="24"/>
        </w:rPr>
        <w:t xml:space="preserve">Jeremy Randall – Interim Pensions </w:t>
      </w:r>
      <w:r w:rsidR="00CE039D">
        <w:rPr>
          <w:sz w:val="24"/>
          <w:szCs w:val="24"/>
        </w:rPr>
        <w:t>Manager</w:t>
      </w:r>
    </w:p>
    <w:p w14:paraId="1C4BF2D4" w14:textId="65CC335C" w:rsidR="002A2389" w:rsidRDefault="00C55540" w:rsidP="00C55540">
      <w:pPr>
        <w:pStyle w:val="Infotext"/>
        <w:rPr>
          <w:rStyle w:val="Hyperlink"/>
          <w:sz w:val="24"/>
          <w:szCs w:val="24"/>
        </w:rPr>
      </w:pPr>
      <w:r w:rsidRPr="00A175BD">
        <w:rPr>
          <w:sz w:val="24"/>
          <w:szCs w:val="24"/>
        </w:rPr>
        <w:t xml:space="preserve">Email: </w:t>
      </w:r>
      <w:hyperlink r:id="rId9" w:history="1">
        <w:r w:rsidRPr="00A175BD">
          <w:rPr>
            <w:rStyle w:val="Hyperlink"/>
            <w:sz w:val="24"/>
            <w:szCs w:val="24"/>
          </w:rPr>
          <w:t>Jeremy.randall@harrow.gov.uk</w:t>
        </w:r>
      </w:hyperlink>
    </w:p>
    <w:p w14:paraId="65DB4D40" w14:textId="2D7010B6" w:rsidR="00CE039D" w:rsidRPr="00CE039D" w:rsidRDefault="00CE039D" w:rsidP="00C55540">
      <w:pPr>
        <w:pStyle w:val="Infotext"/>
      </w:pPr>
      <w:r>
        <w:rPr>
          <w:rStyle w:val="Hyperlink"/>
          <w:color w:val="auto"/>
          <w:sz w:val="24"/>
          <w:szCs w:val="24"/>
          <w:u w:val="none"/>
        </w:rPr>
        <w:t>Telephone: 020 8736 6552</w:t>
      </w:r>
    </w:p>
    <w:p w14:paraId="695B009D" w14:textId="1E187BE9" w:rsidR="002A2389" w:rsidRDefault="002A2389" w:rsidP="00C55540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C55540">
        <w:rPr>
          <w:rFonts w:cs="Arial"/>
          <w:sz w:val="24"/>
        </w:rPr>
        <w:t>None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60AA4"/>
    <w:multiLevelType w:val="hybridMultilevel"/>
    <w:tmpl w:val="CB728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36370"/>
    <w:multiLevelType w:val="hybridMultilevel"/>
    <w:tmpl w:val="1D5EF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FE2074E"/>
    <w:multiLevelType w:val="hybridMultilevel"/>
    <w:tmpl w:val="B452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43A2F"/>
    <w:multiLevelType w:val="hybridMultilevel"/>
    <w:tmpl w:val="50183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49E31D5"/>
    <w:multiLevelType w:val="hybridMultilevel"/>
    <w:tmpl w:val="E7AAE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32052"/>
    <w:multiLevelType w:val="hybridMultilevel"/>
    <w:tmpl w:val="4C3E4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079B"/>
    <w:multiLevelType w:val="hybridMultilevel"/>
    <w:tmpl w:val="F552F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7"/>
  </w:num>
  <w:num w:numId="11">
    <w:abstractNumId w:val="21"/>
  </w:num>
  <w:num w:numId="12">
    <w:abstractNumId w:val="15"/>
  </w:num>
  <w:num w:numId="13">
    <w:abstractNumId w:val="3"/>
  </w:num>
  <w:num w:numId="14">
    <w:abstractNumId w:val="6"/>
  </w:num>
  <w:num w:numId="15">
    <w:abstractNumId w:val="12"/>
  </w:num>
  <w:num w:numId="16">
    <w:abstractNumId w:val="11"/>
  </w:num>
  <w:num w:numId="17">
    <w:abstractNumId w:val="0"/>
  </w:num>
  <w:num w:numId="18">
    <w:abstractNumId w:val="8"/>
  </w:num>
  <w:num w:numId="19">
    <w:abstractNumId w:val="10"/>
  </w:num>
  <w:num w:numId="20">
    <w:abstractNumId w:val="20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23F4C"/>
    <w:rsid w:val="00034EE1"/>
    <w:rsid w:val="00057F10"/>
    <w:rsid w:val="000633A2"/>
    <w:rsid w:val="00070F70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939BA"/>
    <w:rsid w:val="001A472C"/>
    <w:rsid w:val="001A6EB0"/>
    <w:rsid w:val="001B441D"/>
    <w:rsid w:val="001C5225"/>
    <w:rsid w:val="001C6F48"/>
    <w:rsid w:val="001E0219"/>
    <w:rsid w:val="001F6722"/>
    <w:rsid w:val="00213BE7"/>
    <w:rsid w:val="00231A1D"/>
    <w:rsid w:val="00244120"/>
    <w:rsid w:val="00293F9F"/>
    <w:rsid w:val="002A2389"/>
    <w:rsid w:val="002A2C3A"/>
    <w:rsid w:val="002B1B70"/>
    <w:rsid w:val="002C08E2"/>
    <w:rsid w:val="002C1794"/>
    <w:rsid w:val="002D2FC5"/>
    <w:rsid w:val="002E6637"/>
    <w:rsid w:val="002E77E3"/>
    <w:rsid w:val="00332947"/>
    <w:rsid w:val="00333EB4"/>
    <w:rsid w:val="00345915"/>
    <w:rsid w:val="0035176F"/>
    <w:rsid w:val="00365D29"/>
    <w:rsid w:val="00374F22"/>
    <w:rsid w:val="003D2FFE"/>
    <w:rsid w:val="00400032"/>
    <w:rsid w:val="0042394B"/>
    <w:rsid w:val="004446FD"/>
    <w:rsid w:val="00473B08"/>
    <w:rsid w:val="00474B5F"/>
    <w:rsid w:val="004A3CE6"/>
    <w:rsid w:val="004A4A1D"/>
    <w:rsid w:val="004B2C9D"/>
    <w:rsid w:val="004B4A47"/>
    <w:rsid w:val="004E667D"/>
    <w:rsid w:val="004E6AF9"/>
    <w:rsid w:val="005031DF"/>
    <w:rsid w:val="00567D42"/>
    <w:rsid w:val="00597314"/>
    <w:rsid w:val="005A61AF"/>
    <w:rsid w:val="005D0886"/>
    <w:rsid w:val="005E384D"/>
    <w:rsid w:val="005F2181"/>
    <w:rsid w:val="005F724B"/>
    <w:rsid w:val="00625DFF"/>
    <w:rsid w:val="0063072B"/>
    <w:rsid w:val="00661D67"/>
    <w:rsid w:val="00662891"/>
    <w:rsid w:val="006628B7"/>
    <w:rsid w:val="00675FCB"/>
    <w:rsid w:val="006B3942"/>
    <w:rsid w:val="006B5B52"/>
    <w:rsid w:val="006C3914"/>
    <w:rsid w:val="006D3648"/>
    <w:rsid w:val="0074184E"/>
    <w:rsid w:val="00743829"/>
    <w:rsid w:val="0075166A"/>
    <w:rsid w:val="00751DF2"/>
    <w:rsid w:val="00755F8D"/>
    <w:rsid w:val="00796503"/>
    <w:rsid w:val="007D2BDA"/>
    <w:rsid w:val="007D56C8"/>
    <w:rsid w:val="007E3934"/>
    <w:rsid w:val="007E7303"/>
    <w:rsid w:val="008212A0"/>
    <w:rsid w:val="00837F53"/>
    <w:rsid w:val="008D1750"/>
    <w:rsid w:val="008D7800"/>
    <w:rsid w:val="008E2910"/>
    <w:rsid w:val="008E4913"/>
    <w:rsid w:val="008E6C0C"/>
    <w:rsid w:val="00900464"/>
    <w:rsid w:val="0090100E"/>
    <w:rsid w:val="00912904"/>
    <w:rsid w:val="00933709"/>
    <w:rsid w:val="0093767E"/>
    <w:rsid w:val="00972A02"/>
    <w:rsid w:val="0099517C"/>
    <w:rsid w:val="009A0937"/>
    <w:rsid w:val="009B2ECD"/>
    <w:rsid w:val="009B7914"/>
    <w:rsid w:val="009F430B"/>
    <w:rsid w:val="00A160B2"/>
    <w:rsid w:val="00A360D6"/>
    <w:rsid w:val="00A42A08"/>
    <w:rsid w:val="00A566E7"/>
    <w:rsid w:val="00A940D3"/>
    <w:rsid w:val="00A96FCA"/>
    <w:rsid w:val="00AA4BE8"/>
    <w:rsid w:val="00AC0AAB"/>
    <w:rsid w:val="00AC7BA9"/>
    <w:rsid w:val="00B0425E"/>
    <w:rsid w:val="00B67880"/>
    <w:rsid w:val="00B900E2"/>
    <w:rsid w:val="00B9118E"/>
    <w:rsid w:val="00BD6115"/>
    <w:rsid w:val="00BD684A"/>
    <w:rsid w:val="00BF6C03"/>
    <w:rsid w:val="00C32DAE"/>
    <w:rsid w:val="00C34564"/>
    <w:rsid w:val="00C40E24"/>
    <w:rsid w:val="00C55540"/>
    <w:rsid w:val="00C61B80"/>
    <w:rsid w:val="00C92D9A"/>
    <w:rsid w:val="00C96EF5"/>
    <w:rsid w:val="00CE039D"/>
    <w:rsid w:val="00CE4DD2"/>
    <w:rsid w:val="00D25064"/>
    <w:rsid w:val="00D32B51"/>
    <w:rsid w:val="00D34668"/>
    <w:rsid w:val="00D3740E"/>
    <w:rsid w:val="00D40335"/>
    <w:rsid w:val="00D53123"/>
    <w:rsid w:val="00D82F57"/>
    <w:rsid w:val="00D841A5"/>
    <w:rsid w:val="00D914D2"/>
    <w:rsid w:val="00DA25DB"/>
    <w:rsid w:val="00DB0791"/>
    <w:rsid w:val="00DD4251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1403C"/>
    <w:rsid w:val="00F15A6B"/>
    <w:rsid w:val="00F33EE3"/>
    <w:rsid w:val="00F4213B"/>
    <w:rsid w:val="00F77A86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08E5E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table" w:styleId="TableGrid">
    <w:name w:val="Table Grid"/>
    <w:basedOn w:val="TableNormal"/>
    <w:rsid w:val="0075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table" w:styleId="TableGrid">
    <w:name w:val="Table Grid"/>
    <w:basedOn w:val="TableNormal"/>
    <w:rsid w:val="0075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remy.randall@harr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923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5869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NNikolov</cp:lastModifiedBy>
  <cp:revision>10</cp:revision>
  <cp:lastPrinted>2007-07-12T09:53:00Z</cp:lastPrinted>
  <dcterms:created xsi:type="dcterms:W3CDTF">2021-02-09T17:17:00Z</dcterms:created>
  <dcterms:modified xsi:type="dcterms:W3CDTF">2021-02-24T10:58:00Z</dcterms:modified>
</cp:coreProperties>
</file>